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92B2D" w14:textId="78094C11" w:rsidR="008E564E" w:rsidRPr="008E564E" w:rsidRDefault="008E564E" w:rsidP="008E564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Dr</w:t>
      </w:r>
      <w:r w:rsidRPr="008E564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. 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Idd Ramadhani Mandi is a lecturer at the Department of Public Law. He joined the </w:t>
      </w:r>
      <w:r w:rsidR="002D300F" w:rsidRPr="007C5A57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School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in 2007. He holds a Bachelor of Law</w:t>
      </w:r>
      <w:r w:rsidRPr="007C5A57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s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(2005), Master of Laws (2007) and Ph.D. (Law) (2023) degrees from University of Dar es Salaam. </w:t>
      </w:r>
      <w:r w:rsidRPr="007C5A57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He conducted PhD research 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in Constitutional Law</w:t>
      </w:r>
      <w:r w:rsidRPr="007C5A57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and submitted a PhD thesis titled</w:t>
      </w:r>
      <w:r w:rsidRPr="007C5A57">
        <w:rPr>
          <w:rFonts w:ascii="Arial" w:eastAsia="Times New Roman" w:hAnsi="Arial" w:cs="Arial"/>
          <w:b/>
          <w:bCs/>
          <w:i/>
          <w:sz w:val="20"/>
          <w:szCs w:val="20"/>
          <w:lang w:val="en-GB"/>
        </w:rPr>
        <w:t xml:space="preserve"> “</w:t>
      </w:r>
      <w:r w:rsidRPr="007C5A57">
        <w:rPr>
          <w:rFonts w:ascii="Arial" w:eastAsia="Times New Roman" w:hAnsi="Arial" w:cs="Arial"/>
          <w:i/>
          <w:sz w:val="20"/>
          <w:szCs w:val="20"/>
          <w:lang w:val="en-GB"/>
        </w:rPr>
        <w:t>Application of the Principle of Popular Sovereignty in Constitution-Making Processes in Kenya and Tanzania</w:t>
      </w:r>
      <w:r w:rsidRPr="007C5A57">
        <w:rPr>
          <w:rFonts w:ascii="Arial" w:eastAsia="Times New Roman" w:hAnsi="Arial" w:cs="Arial"/>
          <w:iCs/>
          <w:sz w:val="20"/>
          <w:szCs w:val="20"/>
          <w:lang w:val="en-GB"/>
        </w:rPr>
        <w:t>.”</w:t>
      </w:r>
      <w:r w:rsidRPr="007C5A57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Dr. Mandi’s areas of interests are in </w:t>
      </w:r>
      <w:r w:rsidRPr="008E564E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bdr w:val="single" w:sz="2" w:space="0" w:color="E1E1E1" w:frame="1"/>
          <w14:ligatures w14:val="none"/>
        </w:rPr>
        <w:t>Constitutional Law, Criminal Law, Administrative Law and Evidence Law.</w:t>
      </w:r>
    </w:p>
    <w:p w14:paraId="247A5263" w14:textId="50AAC85C" w:rsidR="008E564E" w:rsidRPr="008E564E" w:rsidRDefault="008E564E" w:rsidP="008E564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Dr. Mandi is also an advocate of the High Court of Tanzania. He was called into Bar in 2010. He is a member of Tanganyika Law Society and East Africa Law Society; Bar Associations for Tanzania mainland and East African countries respectively. </w:t>
      </w:r>
      <w:proofErr w:type="gramStart"/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In 2012, Dr.</w:t>
      </w:r>
      <w:proofErr w:type="gramEnd"/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  Mandi was appointed by the Minister </w:t>
      </w:r>
      <w:r w:rsidR="00811D3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of 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Constitutional and Legal Affairs to serve as a member of the Secretariat to the Constitutional Review Commission (otherwise known as “the </w:t>
      </w:r>
      <w:proofErr w:type="spellStart"/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Warioba</w:t>
      </w:r>
      <w:proofErr w:type="spellEnd"/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Commission”). </w:t>
      </w:r>
      <w:r w:rsidRPr="007C5A57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In 2019, the</w:t>
      </w:r>
      <w:r w:rsidR="00005322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Minister of Foreign Affairs</w:t>
      </w:r>
      <w:r w:rsidR="00811D3D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, EAC, Regional and International Cooperation</w:t>
      </w:r>
      <w:r w:rsidR="00005322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r w:rsidR="002D300F" w:rsidRPr="007C5A57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appointed </w:t>
      </w:r>
      <w:r w:rsidR="00005322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Dr Mandi </w:t>
      </w:r>
      <w:r w:rsidR="002D300F" w:rsidRPr="007C5A57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to serve as a member of the Team of Constitutional Experts, which is charged with the responsibility to consult stakeholders and, ultimately, draft the Constitution of the East African Confederation.</w:t>
      </w:r>
      <w:r w:rsidR="00005322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He is </w:t>
      </w:r>
      <w:r w:rsidR="002D300F" w:rsidRPr="007C5A57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the Rapporteur of the Team. Dr.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  Mandi is </w:t>
      </w:r>
      <w:r w:rsidR="007C5A57" w:rsidRPr="007C5A57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also 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a Commissioner of the Law Reform Commission of Tanzania</w:t>
      </w:r>
      <w:r w:rsidR="002D300F" w:rsidRPr="007C5A57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since 2018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. He may be contacted </w:t>
      </w:r>
      <w:proofErr w:type="gramStart"/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through</w:t>
      </w:r>
      <w:proofErr w:type="gramEnd"/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this address:</w:t>
      </w:r>
    </w:p>
    <w:p w14:paraId="03B76F2B" w14:textId="77777777" w:rsidR="008E564E" w:rsidRPr="008E564E" w:rsidRDefault="008E564E" w:rsidP="002D300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Dr. Idd R. Mandi,</w:t>
      </w:r>
    </w:p>
    <w:p w14:paraId="2F3077E0" w14:textId="77777777" w:rsidR="008E564E" w:rsidRPr="008E564E" w:rsidRDefault="008E564E" w:rsidP="002D300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UDSM School of Law,</w:t>
      </w:r>
    </w:p>
    <w:p w14:paraId="71738924" w14:textId="77777777" w:rsidR="008E564E" w:rsidRPr="008E564E" w:rsidRDefault="008E564E" w:rsidP="002D300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P.O. BOX 35093,</w:t>
      </w:r>
    </w:p>
    <w:p w14:paraId="78610FD4" w14:textId="77777777" w:rsidR="008E564E" w:rsidRPr="008E564E" w:rsidRDefault="008E564E" w:rsidP="002D300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Dar es Salaam, </w:t>
      </w:r>
      <w:proofErr w:type="gramStart"/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The</w:t>
      </w:r>
      <w:proofErr w:type="gramEnd"/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United Republic of Tanzania</w:t>
      </w:r>
    </w:p>
    <w:p w14:paraId="3EA92BA1" w14:textId="77777777" w:rsidR="008E564E" w:rsidRPr="008E564E" w:rsidRDefault="008E564E" w:rsidP="002D300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Mobile: +255754 854418</w:t>
      </w:r>
    </w:p>
    <w:p w14:paraId="7AFBA3D0" w14:textId="77777777" w:rsidR="008E564E" w:rsidRPr="008E564E" w:rsidRDefault="008E564E" w:rsidP="002D300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             +255715 854418</w:t>
      </w:r>
    </w:p>
    <w:p w14:paraId="22C86B15" w14:textId="77777777" w:rsidR="008E564E" w:rsidRPr="008E564E" w:rsidRDefault="008E564E" w:rsidP="002D300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gramStart"/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e-mail</w:t>
      </w:r>
      <w:proofErr w:type="gramEnd"/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: </w:t>
      </w:r>
      <w:hyperlink r:id="rId6" w:history="1">
        <w:r w:rsidRPr="008E564E">
          <w:rPr>
            <w:rFonts w:ascii="Arial" w:eastAsia="Times New Roman" w:hAnsi="Arial" w:cs="Arial"/>
            <w:color w:val="225DCD"/>
            <w:kern w:val="0"/>
            <w:sz w:val="20"/>
            <w:szCs w:val="20"/>
            <w:u w:val="single"/>
            <w:bdr w:val="single" w:sz="2" w:space="0" w:color="E1E1E1" w:frame="1"/>
            <w14:ligatures w14:val="none"/>
          </w:rPr>
          <w:t>mandioyo@gmail.com</w:t>
        </w:r>
      </w:hyperlink>
    </w:p>
    <w:p w14:paraId="7DC0DCAB" w14:textId="77777777" w:rsidR="008E564E" w:rsidRPr="008E564E" w:rsidRDefault="008E564E" w:rsidP="008E564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E564E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bdr w:val="single" w:sz="2" w:space="0" w:color="E1E1E1" w:frame="1"/>
          <w14:ligatures w14:val="none"/>
        </w:rPr>
        <w:t>Publications</w:t>
      </w:r>
    </w:p>
    <w:p w14:paraId="6ADE765E" w14:textId="1CD1E38C" w:rsidR="008E564E" w:rsidRPr="008E564E" w:rsidRDefault="00AA3707" w:rsidP="008E564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D</w:t>
      </w:r>
      <w:bookmarkStart w:id="0" w:name="_GoBack"/>
      <w:bookmarkEnd w:id="0"/>
      <w:r w:rsidR="008E564E"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r Mandi has the following publications</w:t>
      </w:r>
      <w:r w:rsidR="002D300F" w:rsidRPr="007C5A57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:</w:t>
      </w:r>
    </w:p>
    <w:p w14:paraId="736FE3DD" w14:textId="77777777" w:rsidR="008E564E" w:rsidRPr="008E564E" w:rsidRDefault="008E564E" w:rsidP="008E564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E564E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bdr w:val="single" w:sz="2" w:space="0" w:color="E1E1E1" w:frame="1"/>
          <w14:ligatures w14:val="none"/>
        </w:rPr>
        <w:t>Book Chapter</w:t>
      </w:r>
    </w:p>
    <w:p w14:paraId="26858EE5" w14:textId="77777777" w:rsidR="008E564E" w:rsidRPr="008E564E" w:rsidRDefault="008E564E" w:rsidP="008E564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 “The </w:t>
      </w:r>
      <w:r w:rsidRPr="008E564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bdr w:val="single" w:sz="2" w:space="0" w:color="E1E1E1" w:frame="1"/>
          <w14:ligatures w14:val="none"/>
        </w:rPr>
        <w:t>State of Constitutionalism and a Bumpy Drive to a New Constitution in Tanzania: Review for the Year 2011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” in Alexander </w:t>
      </w:r>
      <w:proofErr w:type="spellStart"/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Makulilo</w:t>
      </w:r>
      <w:proofErr w:type="spellEnd"/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(ed.), the Annual State of Constitutionalism in East Africa, Fountain Publishers, Kampala, pp.79-145.</w:t>
      </w:r>
    </w:p>
    <w:p w14:paraId="6CC7B989" w14:textId="77777777" w:rsidR="008E564E" w:rsidRPr="008E564E" w:rsidRDefault="008E564E" w:rsidP="008E564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E564E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bdr w:val="single" w:sz="2" w:space="0" w:color="E1E1E1" w:frame="1"/>
          <w14:ligatures w14:val="none"/>
        </w:rPr>
        <w:t>Journal Articles</w:t>
      </w:r>
    </w:p>
    <w:p w14:paraId="4525AE83" w14:textId="77777777" w:rsidR="008E564E" w:rsidRPr="008E564E" w:rsidRDefault="008E564E" w:rsidP="008E564E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846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 </w:t>
      </w:r>
      <w:r w:rsidRPr="008E564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bdr w:val="single" w:sz="2" w:space="0" w:color="E1E1E1" w:frame="1"/>
          <w14:ligatures w14:val="none"/>
        </w:rPr>
        <w:t>The Procedure of a Trial within a Trial: The Need for a Statutory Intervention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, Published in </w:t>
      </w:r>
      <w:r w:rsidRPr="008E564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bdr w:val="single" w:sz="2" w:space="0" w:color="E1E1E1" w:frame="1"/>
          <w14:ligatures w14:val="none"/>
        </w:rPr>
        <w:t>East African Law Review, Combined Issue, Vols 35-40, 2009]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.</w:t>
      </w:r>
    </w:p>
    <w:p w14:paraId="51A4A73D" w14:textId="77777777" w:rsidR="008E564E" w:rsidRPr="008E564E" w:rsidRDefault="008E564E" w:rsidP="008E564E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846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E564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bdr w:val="single" w:sz="2" w:space="0" w:color="E1E1E1" w:frame="1"/>
          <w14:ligatures w14:val="none"/>
        </w:rPr>
        <w:t>Disqualification of Judges in Judicial Proceedings in Tanzania: A Lawyer’s Minefield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, published in </w:t>
      </w:r>
      <w:r w:rsidRPr="008E564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bdr w:val="single" w:sz="2" w:space="0" w:color="E1E1E1" w:frame="1"/>
          <w14:ligatures w14:val="none"/>
        </w:rPr>
        <w:t>The Tanzania Lawyer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, Vol. 2, Issue No 1, 2008.</w:t>
      </w:r>
    </w:p>
    <w:p w14:paraId="34B0AC39" w14:textId="77777777" w:rsidR="008E564E" w:rsidRPr="008E564E" w:rsidRDefault="008E564E" w:rsidP="008E564E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846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E564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bdr w:val="single" w:sz="2" w:space="0" w:color="E1E1E1" w:frame="1"/>
          <w14:ligatures w14:val="none"/>
        </w:rPr>
        <w:t>Observations on the Law and Exercise of Prerogative of Mercy in Tanzania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”, in Nyerere Law Journal, Vol.1, 2014.</w:t>
      </w:r>
    </w:p>
    <w:p w14:paraId="78CBD11C" w14:textId="77777777" w:rsidR="008E564E" w:rsidRPr="007C5A57" w:rsidRDefault="008E564E" w:rsidP="008E564E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846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E564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bdr w:val="single" w:sz="2" w:space="0" w:color="E1E1E1" w:frame="1"/>
          <w14:ligatures w14:val="none"/>
        </w:rPr>
        <w:t>The Uncertainty of Law on the Offence of “Armed Robbery” in Tanzania: Transgression of the Treasured Principle of Legality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, in </w:t>
      </w:r>
      <w:r w:rsidRPr="008E564E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:bdr w:val="single" w:sz="2" w:space="0" w:color="E1E1E1" w:frame="1"/>
          <w14:ligatures w14:val="none"/>
        </w:rPr>
        <w:t>Eastern Africa Law Review</w:t>
      </w:r>
      <w:r w:rsidRPr="008E564E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, Vol.41, No.1, July 2014, pp.1-51</w:t>
      </w:r>
    </w:p>
    <w:p w14:paraId="49FB4C2C" w14:textId="77777777" w:rsidR="007C5A57" w:rsidRPr="007C5A57" w:rsidRDefault="007C5A57" w:rsidP="007C5A57">
      <w:pPr>
        <w:pStyle w:val="ListParagraph"/>
        <w:numPr>
          <w:ilvl w:val="0"/>
          <w:numId w:val="1"/>
        </w:numPr>
        <w:spacing w:before="269" w:after="269"/>
        <w:rPr>
          <w:rFonts w:ascii="Arial" w:hAnsi="Arial" w:cs="Arial"/>
          <w:sz w:val="20"/>
          <w:szCs w:val="20"/>
        </w:rPr>
      </w:pPr>
      <w:r w:rsidRPr="007C5A57">
        <w:rPr>
          <w:rFonts w:ascii="Arial" w:hAnsi="Arial" w:cs="Arial"/>
          <w:i/>
          <w:iCs/>
          <w:color w:val="000000"/>
          <w:sz w:val="20"/>
          <w:szCs w:val="20"/>
        </w:rPr>
        <w:t>Entrusting a Witch with a Baby: the 2014 Constituent Assembly and the Failure of a Constitution Making-Process in Tanzania</w:t>
      </w:r>
      <w:r w:rsidRPr="007C5A5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7C5A57">
        <w:rPr>
          <w:rFonts w:ascii="Arial" w:hAnsi="Arial" w:cs="Arial"/>
          <w:i/>
          <w:color w:val="000000"/>
          <w:sz w:val="20"/>
          <w:szCs w:val="20"/>
        </w:rPr>
        <w:t>The African Review</w:t>
      </w:r>
      <w:r w:rsidRPr="007C5A57">
        <w:rPr>
          <w:rFonts w:ascii="Arial" w:hAnsi="Arial" w:cs="Arial"/>
          <w:color w:val="000000"/>
          <w:sz w:val="20"/>
          <w:szCs w:val="20"/>
        </w:rPr>
        <w:t xml:space="preserve"> (published online ahead of print 2023). </w:t>
      </w:r>
      <w:hyperlink r:id="rId7">
        <w:r w:rsidRPr="007C5A57">
          <w:rPr>
            <w:rStyle w:val="Hyperlink"/>
            <w:rFonts w:ascii="Arial" w:hAnsi="Arial" w:cs="Arial"/>
            <w:color w:val="0000FF"/>
            <w:sz w:val="20"/>
            <w:szCs w:val="20"/>
          </w:rPr>
          <w:t>https://doi.org/10.1163/1821889x-20230002</w:t>
        </w:r>
      </w:hyperlink>
    </w:p>
    <w:p w14:paraId="19BD4D70" w14:textId="74FA4008" w:rsidR="007C5A57" w:rsidRPr="008E564E" w:rsidRDefault="007C5A57" w:rsidP="007C5A57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846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7C5A57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14:ligatures w14:val="none"/>
        </w:rPr>
        <w:lastRenderedPageBreak/>
        <w:t>Consensus- Building and Popular Participation in Constitution-Making: Lessons from Early Constituent Processes in Tanganyika and Zanzibar</w:t>
      </w:r>
      <w:r w:rsidRPr="007C5A57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, in Eastern Africa Law Review, Vol. 49, No. 2, December, 2022, pp.47-86.</w:t>
      </w:r>
    </w:p>
    <w:p w14:paraId="5ED889F0" w14:textId="77777777" w:rsidR="00340905" w:rsidRPr="007C5A57" w:rsidRDefault="00340905">
      <w:pPr>
        <w:rPr>
          <w:sz w:val="20"/>
          <w:szCs w:val="20"/>
        </w:rPr>
      </w:pPr>
    </w:p>
    <w:sectPr w:rsidR="00340905" w:rsidRPr="007C5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4504"/>
    <w:multiLevelType w:val="multilevel"/>
    <w:tmpl w:val="CC50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4E"/>
    <w:rsid w:val="00005322"/>
    <w:rsid w:val="002D300F"/>
    <w:rsid w:val="00340905"/>
    <w:rsid w:val="007C5A57"/>
    <w:rsid w:val="00811D3D"/>
    <w:rsid w:val="008E564E"/>
    <w:rsid w:val="00A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8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163/1821889x-20230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dioy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 Mandi</dc:creator>
  <cp:keywords/>
  <dc:description/>
  <cp:lastModifiedBy>User</cp:lastModifiedBy>
  <cp:revision>9</cp:revision>
  <dcterms:created xsi:type="dcterms:W3CDTF">2023-12-04T11:17:00Z</dcterms:created>
  <dcterms:modified xsi:type="dcterms:W3CDTF">2023-12-11T09:06:00Z</dcterms:modified>
</cp:coreProperties>
</file>